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51E" w:rsidRDefault="008A3FF9">
      <w:proofErr w:type="spellStart"/>
      <w:r>
        <w:rPr>
          <w:b/>
          <w:bCs/>
          <w:color w:val="1B3A4B"/>
          <w:sz w:val="44"/>
          <w:szCs w:val="44"/>
        </w:rPr>
        <w:t>ArborGate</w:t>
      </w:r>
      <w:proofErr w:type="spellEnd"/>
      <w:r>
        <w:rPr>
          <w:b/>
          <w:bCs/>
          <w:color w:val="1B3A4B"/>
          <w:sz w:val="44"/>
          <w:szCs w:val="44"/>
        </w:rPr>
        <w:t xml:space="preserve"> G1</w:t>
      </w:r>
    </w:p>
    <w:p w:rsidR="0002151E" w:rsidRDefault="008A3FF9">
      <w:pPr>
        <w:spacing w:after="140"/>
      </w:pPr>
      <w:r>
        <w:rPr>
          <w:b/>
          <w:bCs/>
          <w:color w:val="3E7C59"/>
          <w:sz w:val="21"/>
          <w:szCs w:val="21"/>
        </w:rPr>
        <w:t>AM-</w:t>
      </w:r>
      <w:r w:rsidR="004C4B2B">
        <w:rPr>
          <w:b/>
          <w:bCs/>
          <w:color w:val="3E7C59"/>
          <w:sz w:val="21"/>
          <w:szCs w:val="21"/>
        </w:rPr>
        <w:t>G1 · Gateway</w:t>
      </w:r>
      <w:r>
        <w:rPr>
          <w:b/>
          <w:bCs/>
          <w:color w:val="3E7C59"/>
          <w:sz w:val="21"/>
          <w:szCs w:val="21"/>
        </w:rPr>
        <w:t xml:space="preserve"> + VFD Unit</w:t>
      </w:r>
    </w:p>
    <w:p w:rsidR="0002151E" w:rsidRPr="004C4B2B" w:rsidRDefault="008A3FF9">
      <w:pPr>
        <w:spacing w:after="100"/>
        <w:rPr>
          <w:sz w:val="24"/>
          <w:szCs w:val="24"/>
        </w:rPr>
      </w:pPr>
      <w:r w:rsidRPr="004C4B2B">
        <w:rPr>
          <w:color w:val="222222"/>
          <w:sz w:val="24"/>
          <w:szCs w:val="24"/>
        </w:rPr>
        <w:t xml:space="preserve">IP67 farm network hub with dual-core edge compute and </w:t>
      </w:r>
      <w:r w:rsidR="004C4B2B">
        <w:rPr>
          <w:color w:val="222222"/>
          <w:sz w:val="24"/>
          <w:szCs w:val="24"/>
        </w:rPr>
        <w:t>a Sub-GHz LPWAN mesh toolchain,</w:t>
      </w:r>
      <w:r w:rsidRPr="004C4B2B">
        <w:rPr>
          <w:color w:val="222222"/>
          <w:sz w:val="24"/>
          <w:szCs w:val="24"/>
        </w:rPr>
        <w:t xml:space="preserve"> designed for 1000+ field nodes, multi-path cloud backhaul (Wi-Fi · Ethernet · cellular LTE), RS485 Modbus pump/VFD control, and flexible power: plug-in, solar, or onboar</w:t>
      </w:r>
      <w:r w:rsidRPr="004C4B2B">
        <w:rPr>
          <w:color w:val="222222"/>
          <w:sz w:val="24"/>
          <w:szCs w:val="24"/>
        </w:rPr>
        <w:t>d battery with up to 96 hours of backup.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0"/>
        <w:gridCol w:w="5220"/>
      </w:tblGrid>
      <w:tr w:rsidR="0002151E" w:rsidRPr="004C4B2B">
        <w:tblPrEx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EFF3F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2151E" w:rsidRPr="004C4B2B" w:rsidRDefault="008A3FF9">
            <w:pPr>
              <w:rPr>
                <w:sz w:val="24"/>
                <w:szCs w:val="24"/>
              </w:rPr>
            </w:pPr>
            <w:r w:rsidRPr="004C4B2B">
              <w:rPr>
                <w:b/>
                <w:bCs/>
                <w:color w:val="1B3A4B"/>
                <w:sz w:val="24"/>
                <w:szCs w:val="24"/>
              </w:rPr>
              <w:t>1000+ node LPWAN mesh hub</w:t>
            </w:r>
          </w:p>
        </w:tc>
        <w:tc>
          <w:tcPr>
            <w:tcW w:w="522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EFF3F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2151E" w:rsidRPr="004C4B2B" w:rsidRDefault="008A3FF9">
            <w:pPr>
              <w:rPr>
                <w:sz w:val="24"/>
                <w:szCs w:val="24"/>
              </w:rPr>
            </w:pPr>
            <w:r w:rsidRPr="004C4B2B">
              <w:rPr>
                <w:b/>
                <w:bCs/>
                <w:color w:val="1B3A4B"/>
                <w:sz w:val="24"/>
                <w:szCs w:val="24"/>
              </w:rPr>
              <w:t>Dual-core application processor</w:t>
            </w:r>
          </w:p>
        </w:tc>
      </w:tr>
      <w:tr w:rsidR="0002151E" w:rsidRPr="004C4B2B">
        <w:tblPrEx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EFF3F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2151E" w:rsidRPr="004C4B2B" w:rsidRDefault="008A3FF9">
            <w:pPr>
              <w:rPr>
                <w:sz w:val="24"/>
                <w:szCs w:val="24"/>
              </w:rPr>
            </w:pPr>
            <w:r w:rsidRPr="004C4B2B">
              <w:rPr>
                <w:b/>
                <w:bCs/>
                <w:color w:val="1B3A4B"/>
                <w:sz w:val="24"/>
                <w:szCs w:val="24"/>
              </w:rPr>
              <w:t>Wi-Fi · Ethernet · cellular LTE</w:t>
            </w:r>
          </w:p>
        </w:tc>
        <w:tc>
          <w:tcPr>
            <w:tcW w:w="522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EFF3F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2151E" w:rsidRPr="004C4B2B" w:rsidRDefault="008A3FF9">
            <w:pPr>
              <w:rPr>
                <w:sz w:val="24"/>
                <w:szCs w:val="24"/>
              </w:rPr>
            </w:pPr>
            <w:r w:rsidRPr="004C4B2B">
              <w:rPr>
                <w:b/>
                <w:bCs/>
                <w:color w:val="1B3A4B"/>
                <w:sz w:val="24"/>
                <w:szCs w:val="24"/>
              </w:rPr>
              <w:t>Bluetooth setup &amp; diagnostics</w:t>
            </w:r>
          </w:p>
        </w:tc>
      </w:tr>
      <w:tr w:rsidR="0002151E" w:rsidRPr="004C4B2B">
        <w:tblPrEx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EFF3F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2151E" w:rsidRPr="004C4B2B" w:rsidRDefault="008A3FF9">
            <w:pPr>
              <w:rPr>
                <w:sz w:val="24"/>
                <w:szCs w:val="24"/>
              </w:rPr>
            </w:pPr>
            <w:r w:rsidRPr="004C4B2B">
              <w:rPr>
                <w:b/>
                <w:bCs/>
                <w:color w:val="1B3A4B"/>
                <w:sz w:val="24"/>
                <w:szCs w:val="24"/>
              </w:rPr>
              <w:t>GNSS positioning</w:t>
            </w:r>
          </w:p>
        </w:tc>
        <w:tc>
          <w:tcPr>
            <w:tcW w:w="522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EFF3F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2151E" w:rsidRPr="004C4B2B" w:rsidRDefault="008A3FF9">
            <w:pPr>
              <w:rPr>
                <w:sz w:val="24"/>
                <w:szCs w:val="24"/>
              </w:rPr>
            </w:pPr>
            <w:r w:rsidRPr="004C4B2B">
              <w:rPr>
                <w:b/>
                <w:bCs/>
                <w:color w:val="1B3A4B"/>
                <w:sz w:val="24"/>
                <w:szCs w:val="24"/>
              </w:rPr>
              <w:t>RS485 Modbus pump / VFD control</w:t>
            </w:r>
          </w:p>
        </w:tc>
      </w:tr>
      <w:tr w:rsidR="0002151E" w:rsidRPr="004C4B2B">
        <w:tblPrEx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EFF3F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2151E" w:rsidRPr="004C4B2B" w:rsidRDefault="008A3FF9">
            <w:pPr>
              <w:rPr>
                <w:sz w:val="24"/>
                <w:szCs w:val="24"/>
              </w:rPr>
            </w:pPr>
            <w:r w:rsidRPr="004C4B2B">
              <w:rPr>
                <w:b/>
                <w:bCs/>
                <w:color w:val="1B3A4B"/>
                <w:sz w:val="24"/>
                <w:szCs w:val="24"/>
              </w:rPr>
              <w:t>Plug-in · solar · battery — up to 96h backu</w:t>
            </w:r>
            <w:r w:rsidRPr="004C4B2B">
              <w:rPr>
                <w:b/>
                <w:bCs/>
                <w:color w:val="1B3A4B"/>
                <w:sz w:val="24"/>
                <w:szCs w:val="24"/>
              </w:rPr>
              <w:t>p</w:t>
            </w:r>
          </w:p>
        </w:tc>
        <w:tc>
          <w:tcPr>
            <w:tcW w:w="522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EFF3F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2151E" w:rsidRPr="004C4B2B" w:rsidRDefault="008A3FF9">
            <w:pPr>
              <w:rPr>
                <w:sz w:val="24"/>
                <w:szCs w:val="24"/>
              </w:rPr>
            </w:pPr>
            <w:r w:rsidRPr="004C4B2B">
              <w:rPr>
                <w:b/>
                <w:bCs/>
                <w:color w:val="1B3A4B"/>
                <w:sz w:val="24"/>
                <w:szCs w:val="24"/>
              </w:rPr>
              <w:t>IP67 enclosure</w:t>
            </w:r>
          </w:p>
        </w:tc>
      </w:tr>
    </w:tbl>
    <w:p w:rsidR="0002151E" w:rsidRPr="004C4B2B" w:rsidRDefault="008A3FF9">
      <w:pPr>
        <w:spacing w:before="200" w:after="80"/>
        <w:rPr>
          <w:sz w:val="24"/>
          <w:szCs w:val="24"/>
        </w:rPr>
      </w:pPr>
      <w:r w:rsidRPr="004C4B2B">
        <w:rPr>
          <w:b/>
          <w:bCs/>
          <w:color w:val="1B3A4B"/>
          <w:sz w:val="24"/>
          <w:szCs w:val="24"/>
        </w:rPr>
        <w:t>One Gateway. Whole-Farm Control.</w:t>
      </w:r>
    </w:p>
    <w:p w:rsidR="0002151E" w:rsidRPr="004C4B2B" w:rsidRDefault="004C4B2B">
      <w:pPr>
        <w:spacing w:after="90"/>
        <w:rPr>
          <w:sz w:val="24"/>
          <w:szCs w:val="24"/>
        </w:rPr>
      </w:pPr>
      <w:r>
        <w:rPr>
          <w:b/>
          <w:bCs/>
          <w:color w:val="3E7C59"/>
          <w:sz w:val="24"/>
          <w:szCs w:val="24"/>
        </w:rPr>
        <w:t>Long-range mesh:</w:t>
      </w:r>
      <w:r w:rsidR="008A3FF9" w:rsidRPr="004C4B2B">
        <w:rPr>
          <w:b/>
          <w:bCs/>
          <w:color w:val="3E7C59"/>
          <w:sz w:val="24"/>
          <w:szCs w:val="24"/>
        </w:rPr>
        <w:t xml:space="preserve"> </w:t>
      </w:r>
      <w:r w:rsidR="008A3FF9" w:rsidRPr="004C4B2B">
        <w:rPr>
          <w:color w:val="222222"/>
          <w:sz w:val="24"/>
          <w:szCs w:val="24"/>
        </w:rPr>
        <w:t xml:space="preserve">LPWAN network </w:t>
      </w:r>
      <w:r>
        <w:rPr>
          <w:color w:val="222222"/>
          <w:sz w:val="24"/>
          <w:szCs w:val="24"/>
        </w:rPr>
        <w:t>designed for 1000+ field nodes,</w:t>
      </w:r>
      <w:r w:rsidR="008A3FF9" w:rsidRPr="004C4B2B">
        <w:rPr>
          <w:color w:val="222222"/>
          <w:sz w:val="24"/>
          <w:szCs w:val="24"/>
        </w:rPr>
        <w:t xml:space="preserve"> valves, sensors, and asset-mana</w:t>
      </w:r>
      <w:r>
        <w:rPr>
          <w:color w:val="222222"/>
          <w:sz w:val="24"/>
          <w:szCs w:val="24"/>
        </w:rPr>
        <w:t>gement nodes on farm machinery,</w:t>
      </w:r>
      <w:r w:rsidR="008A3FF9" w:rsidRPr="004C4B2B">
        <w:rPr>
          <w:color w:val="222222"/>
          <w:sz w:val="24"/>
          <w:szCs w:val="24"/>
        </w:rPr>
        <w:t xml:space="preserve"> from a single irrigation block to a full ranch, with Bluetooth for setup and nearby diagnostics.</w:t>
      </w:r>
    </w:p>
    <w:p w:rsidR="0002151E" w:rsidRPr="004C4B2B" w:rsidRDefault="004C4B2B">
      <w:pPr>
        <w:spacing w:after="90"/>
        <w:rPr>
          <w:sz w:val="24"/>
          <w:szCs w:val="24"/>
        </w:rPr>
      </w:pPr>
      <w:r>
        <w:rPr>
          <w:b/>
          <w:bCs/>
          <w:color w:val="3E7C59"/>
          <w:sz w:val="24"/>
          <w:szCs w:val="24"/>
        </w:rPr>
        <w:t>Multi-path connectivity:</w:t>
      </w:r>
      <w:r w:rsidR="008A3FF9" w:rsidRPr="004C4B2B">
        <w:rPr>
          <w:b/>
          <w:bCs/>
          <w:color w:val="3E7C59"/>
          <w:sz w:val="24"/>
          <w:szCs w:val="24"/>
        </w:rPr>
        <w:t xml:space="preserve"> </w:t>
      </w:r>
      <w:r w:rsidR="008A3FF9" w:rsidRPr="004C4B2B">
        <w:rPr>
          <w:color w:val="222222"/>
          <w:sz w:val="24"/>
          <w:szCs w:val="24"/>
        </w:rPr>
        <w:t xml:space="preserve">Wi-Fi, Ethernet-class </w:t>
      </w:r>
      <w:r w:rsidR="008A3FF9" w:rsidRPr="004C4B2B">
        <w:rPr>
          <w:color w:val="222222"/>
          <w:sz w:val="24"/>
          <w:szCs w:val="24"/>
        </w:rPr>
        <w:t>LAN, and cellular LTE, plus GNSS location and external SMA antennas. Site join follows the IP-device pattern operators alre</w:t>
      </w:r>
      <w:r>
        <w:rPr>
          <w:color w:val="222222"/>
          <w:sz w:val="24"/>
          <w:szCs w:val="24"/>
        </w:rPr>
        <w:t>ady know from cameras and NVRs,</w:t>
      </w:r>
      <w:r w:rsidR="008A3FF9" w:rsidRPr="004C4B2B">
        <w:rPr>
          <w:color w:val="222222"/>
          <w:sz w:val="24"/>
          <w:szCs w:val="24"/>
        </w:rPr>
        <w:t xml:space="preserve"> DHCP or static IP on the chosen uplink.</w:t>
      </w:r>
    </w:p>
    <w:p w:rsidR="0002151E" w:rsidRPr="004C4B2B" w:rsidRDefault="004C4B2B">
      <w:pPr>
        <w:spacing w:after="90"/>
        <w:rPr>
          <w:sz w:val="24"/>
          <w:szCs w:val="24"/>
        </w:rPr>
      </w:pPr>
      <w:r>
        <w:rPr>
          <w:b/>
          <w:bCs/>
          <w:color w:val="3E7C59"/>
          <w:sz w:val="24"/>
          <w:szCs w:val="24"/>
        </w:rPr>
        <w:t>Precision at the pump:</w:t>
      </w:r>
      <w:r w:rsidR="008A3FF9" w:rsidRPr="004C4B2B">
        <w:rPr>
          <w:b/>
          <w:bCs/>
          <w:color w:val="3E7C59"/>
          <w:sz w:val="24"/>
          <w:szCs w:val="24"/>
        </w:rPr>
        <w:t xml:space="preserve"> </w:t>
      </w:r>
      <w:r w:rsidR="008A3FF9" w:rsidRPr="004C4B2B">
        <w:rPr>
          <w:color w:val="222222"/>
          <w:sz w:val="24"/>
          <w:szCs w:val="24"/>
        </w:rPr>
        <w:t>RS485 Modbus communication with VFDs</w:t>
      </w:r>
      <w:r w:rsidR="008A3FF9" w:rsidRPr="004C4B2B">
        <w:rPr>
          <w:color w:val="222222"/>
          <w:sz w:val="24"/>
          <w:szCs w:val="24"/>
        </w:rPr>
        <w:t xml:space="preserve"> and compatible pump controllers, plus an on-board relay to switch or en</w:t>
      </w:r>
      <w:r>
        <w:rPr>
          <w:color w:val="222222"/>
          <w:sz w:val="24"/>
          <w:szCs w:val="24"/>
        </w:rPr>
        <w:t>able VFD supply when commanded,</w:t>
      </w:r>
      <w:r w:rsidR="008A3FF9" w:rsidRPr="004C4B2B">
        <w:rPr>
          <w:color w:val="222222"/>
          <w:sz w:val="24"/>
          <w:szCs w:val="24"/>
        </w:rPr>
        <w:t xml:space="preserve"> measurable pump control, not open-loop hope.</w:t>
      </w:r>
    </w:p>
    <w:p w:rsidR="0002151E" w:rsidRPr="004C4B2B" w:rsidRDefault="004C4B2B">
      <w:pPr>
        <w:spacing w:after="90"/>
        <w:rPr>
          <w:sz w:val="24"/>
          <w:szCs w:val="24"/>
        </w:rPr>
      </w:pPr>
      <w:r>
        <w:rPr>
          <w:b/>
          <w:bCs/>
          <w:color w:val="3E7C59"/>
          <w:sz w:val="24"/>
          <w:szCs w:val="24"/>
        </w:rPr>
        <w:t>Power that survives the site:</w:t>
      </w:r>
      <w:bookmarkStart w:id="0" w:name="_GoBack"/>
      <w:bookmarkEnd w:id="0"/>
      <w:r w:rsidR="008A3FF9" w:rsidRPr="004C4B2B">
        <w:rPr>
          <w:b/>
          <w:bCs/>
          <w:color w:val="3E7C59"/>
          <w:sz w:val="24"/>
          <w:szCs w:val="24"/>
        </w:rPr>
        <w:t xml:space="preserve"> </w:t>
      </w:r>
      <w:r w:rsidR="008A3FF9" w:rsidRPr="004C4B2B">
        <w:rPr>
          <w:color w:val="222222"/>
          <w:sz w:val="24"/>
          <w:szCs w:val="24"/>
        </w:rPr>
        <w:t>Plug-in, solar panel, or onboard LiFePO4 battery. Deploy solar-only where n</w:t>
      </w:r>
      <w:r w:rsidR="008A3FF9" w:rsidRPr="004C4B2B">
        <w:rPr>
          <w:color w:val="222222"/>
          <w:sz w:val="24"/>
          <w:szCs w:val="24"/>
        </w:rPr>
        <w:t>o power outlet exists; when supply fails, the battery carries the gateway for up to 96 hours.</w:t>
      </w:r>
    </w:p>
    <w:p w:rsidR="0002151E" w:rsidRPr="004C4B2B" w:rsidRDefault="008A3FF9">
      <w:pPr>
        <w:spacing w:before="200" w:after="80"/>
        <w:rPr>
          <w:sz w:val="24"/>
          <w:szCs w:val="24"/>
        </w:rPr>
      </w:pPr>
      <w:r w:rsidRPr="004C4B2B">
        <w:rPr>
          <w:b/>
          <w:bCs/>
          <w:color w:val="1B3A4B"/>
          <w:sz w:val="24"/>
          <w:szCs w:val="24"/>
        </w:rPr>
        <w:t>Where It Works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40"/>
        <w:gridCol w:w="7100"/>
      </w:tblGrid>
      <w:tr w:rsidR="0002151E" w:rsidRPr="004C4B2B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EFF3F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2151E" w:rsidRPr="004C4B2B" w:rsidRDefault="008A3FF9">
            <w:pPr>
              <w:rPr>
                <w:sz w:val="24"/>
                <w:szCs w:val="24"/>
              </w:rPr>
            </w:pPr>
            <w:r w:rsidRPr="004C4B2B">
              <w:rPr>
                <w:b/>
                <w:bCs/>
                <w:color w:val="1B3A4B"/>
                <w:sz w:val="24"/>
                <w:szCs w:val="24"/>
              </w:rPr>
              <w:t>Application</w:t>
            </w:r>
          </w:p>
        </w:tc>
        <w:tc>
          <w:tcPr>
            <w:tcW w:w="71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EFF3F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2151E" w:rsidRPr="004C4B2B" w:rsidRDefault="008A3FF9">
            <w:pPr>
              <w:rPr>
                <w:sz w:val="24"/>
                <w:szCs w:val="24"/>
              </w:rPr>
            </w:pPr>
            <w:r w:rsidRPr="004C4B2B">
              <w:rPr>
                <w:b/>
                <w:bCs/>
                <w:color w:val="1B3A4B"/>
                <w:sz w:val="24"/>
                <w:szCs w:val="24"/>
              </w:rPr>
              <w:t>Value</w:t>
            </w:r>
          </w:p>
        </w:tc>
      </w:tr>
      <w:tr w:rsidR="0002151E" w:rsidRPr="004C4B2B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2151E" w:rsidRPr="004C4B2B" w:rsidRDefault="008A3FF9">
            <w:pPr>
              <w:rPr>
                <w:sz w:val="24"/>
                <w:szCs w:val="24"/>
              </w:rPr>
            </w:pPr>
            <w:r w:rsidRPr="004C4B2B">
              <w:rPr>
                <w:color w:val="333333"/>
                <w:sz w:val="24"/>
                <w:szCs w:val="24"/>
              </w:rPr>
              <w:t>Orchards &amp; vineyards</w:t>
            </w:r>
          </w:p>
        </w:tc>
        <w:tc>
          <w:tcPr>
            <w:tcW w:w="71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2151E" w:rsidRPr="004C4B2B" w:rsidRDefault="008A3FF9">
            <w:pPr>
              <w:rPr>
                <w:sz w:val="24"/>
                <w:szCs w:val="24"/>
              </w:rPr>
            </w:pPr>
            <w:r w:rsidRPr="004C4B2B">
              <w:rPr>
                <w:color w:val="333333"/>
                <w:sz w:val="24"/>
                <w:szCs w:val="24"/>
              </w:rPr>
              <w:t>Farm network hub for connected irrigation blocks</w:t>
            </w:r>
          </w:p>
        </w:tc>
      </w:tr>
      <w:tr w:rsidR="0002151E" w:rsidRPr="004C4B2B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2151E" w:rsidRPr="004C4B2B" w:rsidRDefault="008A3FF9">
            <w:pPr>
              <w:rPr>
                <w:sz w:val="24"/>
                <w:szCs w:val="24"/>
              </w:rPr>
            </w:pPr>
            <w:r w:rsidRPr="004C4B2B">
              <w:rPr>
                <w:color w:val="333333"/>
                <w:sz w:val="24"/>
                <w:szCs w:val="24"/>
              </w:rPr>
              <w:t>Pump stations</w:t>
            </w:r>
          </w:p>
        </w:tc>
        <w:tc>
          <w:tcPr>
            <w:tcW w:w="71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2151E" w:rsidRPr="004C4B2B" w:rsidRDefault="008A3FF9">
            <w:pPr>
              <w:rPr>
                <w:sz w:val="24"/>
                <w:szCs w:val="24"/>
              </w:rPr>
            </w:pPr>
            <w:r w:rsidRPr="004C4B2B">
              <w:rPr>
                <w:color w:val="333333"/>
                <w:sz w:val="24"/>
                <w:szCs w:val="24"/>
              </w:rPr>
              <w:t>VFD start/stop and pump control through RS485 Modbus</w:t>
            </w:r>
          </w:p>
        </w:tc>
      </w:tr>
      <w:tr w:rsidR="0002151E" w:rsidRPr="004C4B2B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2151E" w:rsidRPr="004C4B2B" w:rsidRDefault="008A3FF9">
            <w:pPr>
              <w:rPr>
                <w:sz w:val="24"/>
                <w:szCs w:val="24"/>
              </w:rPr>
            </w:pPr>
            <w:r w:rsidRPr="004C4B2B">
              <w:rPr>
                <w:color w:val="333333"/>
                <w:sz w:val="24"/>
                <w:szCs w:val="24"/>
              </w:rPr>
              <w:t>Row crops &amp; pivot irrigation</w:t>
            </w:r>
          </w:p>
        </w:tc>
        <w:tc>
          <w:tcPr>
            <w:tcW w:w="71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2151E" w:rsidRPr="004C4B2B" w:rsidRDefault="008A3FF9">
            <w:pPr>
              <w:rPr>
                <w:sz w:val="24"/>
                <w:szCs w:val="24"/>
              </w:rPr>
            </w:pPr>
            <w:r w:rsidRPr="004C4B2B">
              <w:rPr>
                <w:color w:val="333333"/>
                <w:sz w:val="24"/>
                <w:szCs w:val="24"/>
              </w:rPr>
              <w:t>Central gateway for large field deployments</w:t>
            </w:r>
          </w:p>
        </w:tc>
      </w:tr>
      <w:tr w:rsidR="0002151E" w:rsidRPr="004C4B2B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2151E" w:rsidRPr="004C4B2B" w:rsidRDefault="008A3FF9">
            <w:pPr>
              <w:rPr>
                <w:sz w:val="24"/>
                <w:szCs w:val="24"/>
              </w:rPr>
            </w:pPr>
            <w:r w:rsidRPr="004C4B2B">
              <w:rPr>
                <w:color w:val="333333"/>
                <w:sz w:val="24"/>
                <w:szCs w:val="24"/>
              </w:rPr>
              <w:t>Hybrid connectivity sites</w:t>
            </w:r>
          </w:p>
        </w:tc>
        <w:tc>
          <w:tcPr>
            <w:tcW w:w="71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2151E" w:rsidRPr="004C4B2B" w:rsidRDefault="008A3FF9">
            <w:pPr>
              <w:rPr>
                <w:sz w:val="24"/>
                <w:szCs w:val="24"/>
              </w:rPr>
            </w:pPr>
            <w:r w:rsidRPr="004C4B2B">
              <w:rPr>
                <w:color w:val="333333"/>
                <w:sz w:val="24"/>
                <w:szCs w:val="24"/>
              </w:rPr>
              <w:t>Wi-Fi, Ethernet, or cellular LTE per site requirements</w:t>
            </w:r>
          </w:p>
        </w:tc>
      </w:tr>
      <w:tr w:rsidR="0002151E" w:rsidRPr="004C4B2B">
        <w:tblPrEx>
          <w:tblCellMar>
            <w:top w:w="0" w:type="dxa"/>
            <w:bottom w:w="0" w:type="dxa"/>
          </w:tblCellMar>
        </w:tblPrEx>
        <w:tc>
          <w:tcPr>
            <w:tcW w:w="334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2151E" w:rsidRPr="004C4B2B" w:rsidRDefault="008A3FF9">
            <w:pPr>
              <w:rPr>
                <w:sz w:val="24"/>
                <w:szCs w:val="24"/>
              </w:rPr>
            </w:pPr>
            <w:r w:rsidRPr="004C4B2B">
              <w:rPr>
                <w:color w:val="333333"/>
                <w:sz w:val="24"/>
                <w:szCs w:val="24"/>
              </w:rPr>
              <w:t>A.I.M integration</w:t>
            </w:r>
          </w:p>
        </w:tc>
        <w:tc>
          <w:tcPr>
            <w:tcW w:w="71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2151E" w:rsidRPr="004C4B2B" w:rsidRDefault="008A3FF9">
            <w:pPr>
              <w:rPr>
                <w:sz w:val="24"/>
                <w:szCs w:val="24"/>
              </w:rPr>
            </w:pPr>
            <w:r w:rsidRPr="004C4B2B">
              <w:rPr>
                <w:color w:val="333333"/>
                <w:sz w:val="24"/>
                <w:szCs w:val="24"/>
              </w:rPr>
              <w:t>Bridges field nodes to A.I.M</w:t>
            </w:r>
            <w:r w:rsidRPr="004C4B2B">
              <w:rPr>
                <w:color w:val="333333"/>
                <w:sz w:val="24"/>
                <w:szCs w:val="24"/>
              </w:rPr>
              <w:t xml:space="preserve"> Web + Mobile</w:t>
            </w:r>
          </w:p>
        </w:tc>
      </w:tr>
    </w:tbl>
    <w:p w:rsidR="0002151E" w:rsidRPr="004C4B2B" w:rsidRDefault="004C4B2B">
      <w:pPr>
        <w:spacing w:before="220"/>
        <w:jc w:val="center"/>
        <w:rPr>
          <w:sz w:val="24"/>
          <w:szCs w:val="24"/>
        </w:rPr>
      </w:pPr>
      <w:r w:rsidRPr="004C4B2B">
        <w:rPr>
          <w:i/>
          <w:iCs/>
          <w:color w:val="1B3A4B"/>
          <w:sz w:val="24"/>
          <w:szCs w:val="24"/>
        </w:rPr>
        <w:t>“</w:t>
      </w:r>
      <w:proofErr w:type="spellStart"/>
      <w:r w:rsidRPr="004C4B2B">
        <w:rPr>
          <w:i/>
          <w:iCs/>
          <w:color w:val="1B3A4B"/>
          <w:sz w:val="24"/>
          <w:szCs w:val="24"/>
        </w:rPr>
        <w:t>ArborGate</w:t>
      </w:r>
      <w:proofErr w:type="spellEnd"/>
      <w:r w:rsidRPr="004C4B2B">
        <w:rPr>
          <w:i/>
          <w:iCs/>
          <w:color w:val="1B3A4B"/>
          <w:sz w:val="24"/>
          <w:szCs w:val="24"/>
        </w:rPr>
        <w:t xml:space="preserve"> </w:t>
      </w:r>
      <w:proofErr w:type="gramStart"/>
      <w:r w:rsidRPr="004C4B2B">
        <w:rPr>
          <w:i/>
          <w:iCs/>
          <w:color w:val="1B3A4B"/>
          <w:sz w:val="24"/>
          <w:szCs w:val="24"/>
        </w:rPr>
        <w:t xml:space="preserve">G1 </w:t>
      </w:r>
      <w:r w:rsidR="008A3FF9" w:rsidRPr="004C4B2B">
        <w:rPr>
          <w:i/>
          <w:iCs/>
          <w:color w:val="1B3A4B"/>
          <w:sz w:val="24"/>
          <w:szCs w:val="24"/>
        </w:rPr>
        <w:t xml:space="preserve"> field</w:t>
      </w:r>
      <w:proofErr w:type="gramEnd"/>
      <w:r w:rsidR="008A3FF9" w:rsidRPr="004C4B2B">
        <w:rPr>
          <w:i/>
          <w:iCs/>
          <w:color w:val="1B3A4B"/>
          <w:sz w:val="24"/>
          <w:szCs w:val="24"/>
        </w:rPr>
        <w:t xml:space="preserve"> control without the wire. Connect the nodes. Command t</w:t>
      </w:r>
      <w:r w:rsidRPr="004C4B2B">
        <w:rPr>
          <w:i/>
          <w:iCs/>
          <w:color w:val="1B3A4B"/>
          <w:sz w:val="24"/>
          <w:szCs w:val="24"/>
        </w:rPr>
        <w:t>he pumps. Keep the farm online even</w:t>
      </w:r>
      <w:r w:rsidR="008A3FF9" w:rsidRPr="004C4B2B">
        <w:rPr>
          <w:i/>
          <w:iCs/>
          <w:color w:val="1B3A4B"/>
          <w:sz w:val="24"/>
          <w:szCs w:val="24"/>
        </w:rPr>
        <w:t xml:space="preserve"> when the power does not.”</w:t>
      </w:r>
    </w:p>
    <w:sectPr w:rsidR="0002151E" w:rsidRPr="004C4B2B">
      <w:headerReference w:type="default" r:id="rId7"/>
      <w:footerReference w:type="default" r:id="rId8"/>
      <w:pgSz w:w="12240" w:h="15840"/>
      <w:pgMar w:top="90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3FF9" w:rsidRDefault="008A3FF9">
      <w:r>
        <w:separator/>
      </w:r>
    </w:p>
  </w:endnote>
  <w:endnote w:type="continuationSeparator" w:id="0">
    <w:p w:rsidR="008A3FF9" w:rsidRDefault="008A3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151E" w:rsidRDefault="0002151E">
    <w:pPr>
      <w:pBdr>
        <w:top w:val="single" w:sz="4" w:space="0" w:color="CCCCCC"/>
      </w:pBdr>
      <w:spacing w:before="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3FF9" w:rsidRDefault="008A3FF9">
      <w:r>
        <w:separator/>
      </w:r>
    </w:p>
  </w:footnote>
  <w:footnote w:type="continuationSeparator" w:id="0">
    <w:p w:rsidR="008A3FF9" w:rsidRDefault="008A3F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151E" w:rsidRDefault="0002151E">
    <w:pPr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036EDC"/>
    <w:multiLevelType w:val="hybridMultilevel"/>
    <w:tmpl w:val="6CA6BE40"/>
    <w:lvl w:ilvl="0" w:tplc="2A288B66">
      <w:start w:val="1"/>
      <w:numFmt w:val="bullet"/>
      <w:lvlText w:val="●"/>
      <w:lvlJc w:val="left"/>
      <w:pPr>
        <w:ind w:left="720" w:hanging="360"/>
      </w:pPr>
    </w:lvl>
    <w:lvl w:ilvl="1" w:tplc="703418B0">
      <w:start w:val="1"/>
      <w:numFmt w:val="bullet"/>
      <w:lvlText w:val="○"/>
      <w:lvlJc w:val="left"/>
      <w:pPr>
        <w:ind w:left="1440" w:hanging="360"/>
      </w:pPr>
    </w:lvl>
    <w:lvl w:ilvl="2" w:tplc="8D5EC2CC">
      <w:start w:val="1"/>
      <w:numFmt w:val="bullet"/>
      <w:lvlText w:val="■"/>
      <w:lvlJc w:val="left"/>
      <w:pPr>
        <w:ind w:left="2160" w:hanging="360"/>
      </w:pPr>
    </w:lvl>
    <w:lvl w:ilvl="3" w:tplc="C37E2D48">
      <w:start w:val="1"/>
      <w:numFmt w:val="bullet"/>
      <w:lvlText w:val="●"/>
      <w:lvlJc w:val="left"/>
      <w:pPr>
        <w:ind w:left="2880" w:hanging="360"/>
      </w:pPr>
    </w:lvl>
    <w:lvl w:ilvl="4" w:tplc="847CF03A">
      <w:start w:val="1"/>
      <w:numFmt w:val="bullet"/>
      <w:lvlText w:val="○"/>
      <w:lvlJc w:val="left"/>
      <w:pPr>
        <w:ind w:left="3600" w:hanging="360"/>
      </w:pPr>
    </w:lvl>
    <w:lvl w:ilvl="5" w:tplc="8688B14C">
      <w:start w:val="1"/>
      <w:numFmt w:val="bullet"/>
      <w:lvlText w:val="■"/>
      <w:lvlJc w:val="left"/>
      <w:pPr>
        <w:ind w:left="4320" w:hanging="360"/>
      </w:pPr>
    </w:lvl>
    <w:lvl w:ilvl="6" w:tplc="57F8487E">
      <w:start w:val="1"/>
      <w:numFmt w:val="bullet"/>
      <w:lvlText w:val="●"/>
      <w:lvlJc w:val="left"/>
      <w:pPr>
        <w:ind w:left="5040" w:hanging="360"/>
      </w:pPr>
    </w:lvl>
    <w:lvl w:ilvl="7" w:tplc="9F6092F8">
      <w:start w:val="1"/>
      <w:numFmt w:val="bullet"/>
      <w:lvlText w:val="●"/>
      <w:lvlJc w:val="left"/>
      <w:pPr>
        <w:ind w:left="5760" w:hanging="360"/>
      </w:pPr>
    </w:lvl>
    <w:lvl w:ilvl="8" w:tplc="9EAA6E3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51E"/>
    <w:rsid w:val="0002151E"/>
    <w:rsid w:val="004C4B2B"/>
    <w:rsid w:val="008A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C5192C-FB74-42C9-857D-763E9CBA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C4B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4B2B"/>
  </w:style>
  <w:style w:type="paragraph" w:styleId="Footer">
    <w:name w:val="footer"/>
    <w:basedOn w:val="Normal"/>
    <w:link w:val="FooterChar"/>
    <w:uiPriority w:val="99"/>
    <w:unhideWhenUsed/>
    <w:rsid w:val="004C4B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4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HR</cp:lastModifiedBy>
  <cp:revision>2</cp:revision>
  <dcterms:created xsi:type="dcterms:W3CDTF">2026-08-31T11:46:00Z</dcterms:created>
  <dcterms:modified xsi:type="dcterms:W3CDTF">2026-08-31T11:56:00Z</dcterms:modified>
</cp:coreProperties>
</file>